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7327A" w14:textId="77777777" w:rsidR="00750813" w:rsidRPr="00750813" w:rsidRDefault="00750813" w:rsidP="00750813">
      <w:r w:rsidRPr="00750813">
        <w:rPr>
          <w:b/>
          <w:bCs/>
        </w:rPr>
        <w:t>Tasmanian Wilderness Escape</w:t>
      </w:r>
    </w:p>
    <w:p w14:paraId="33185ED1" w14:textId="77777777" w:rsidR="00750813" w:rsidRPr="00750813" w:rsidRDefault="00750813" w:rsidP="00750813">
      <w:r w:rsidRPr="00750813">
        <w:rPr>
          <w:b/>
          <w:bCs/>
        </w:rPr>
        <w:t>Description</w:t>
      </w:r>
      <w:r w:rsidRPr="00750813">
        <w:t>: Immerse yourself in the pristine beauty of Tasmania with our 7-day Tasmanian Wilderness Escape package. This adventure offers a unique opportunity to explore the island's rugged landscapes, ancient forests, and diverse wildlife, perfect for nature lovers and adventure enthusiasts.</w:t>
      </w:r>
    </w:p>
    <w:p w14:paraId="48FA525D" w14:textId="77777777" w:rsidR="00750813" w:rsidRPr="00750813" w:rsidRDefault="00750813" w:rsidP="00750813">
      <w:r w:rsidRPr="00750813">
        <w:rPr>
          <w:b/>
          <w:bCs/>
        </w:rPr>
        <w:t>Features</w:t>
      </w:r>
      <w:r w:rsidRPr="00750813">
        <w:t>:</w:t>
      </w:r>
    </w:p>
    <w:p w14:paraId="46369CD7" w14:textId="77777777" w:rsidR="00750813" w:rsidRPr="00750813" w:rsidRDefault="00750813" w:rsidP="00750813">
      <w:pPr>
        <w:numPr>
          <w:ilvl w:val="0"/>
          <w:numId w:val="8"/>
        </w:numPr>
      </w:pPr>
      <w:r w:rsidRPr="00750813">
        <w:rPr>
          <w:b/>
          <w:bCs/>
        </w:rPr>
        <w:t>Cradle Mountain Hike</w:t>
      </w:r>
      <w:r w:rsidRPr="00750813">
        <w:t>: Embark on guided hikes through Cradle Mountain-Lake St Clair National Park, experiencing breathtaking views and diverse flora and fauna.</w:t>
      </w:r>
    </w:p>
    <w:p w14:paraId="382BC2E4" w14:textId="77777777" w:rsidR="00750813" w:rsidRPr="00750813" w:rsidRDefault="00750813" w:rsidP="00750813">
      <w:pPr>
        <w:numPr>
          <w:ilvl w:val="0"/>
          <w:numId w:val="8"/>
        </w:numPr>
      </w:pPr>
      <w:r w:rsidRPr="00750813">
        <w:rPr>
          <w:b/>
          <w:bCs/>
        </w:rPr>
        <w:t>Freycinet National Park</w:t>
      </w:r>
      <w:r w:rsidRPr="00750813">
        <w:t>: Visit the stunning Freycinet National Park, home to the iconic Wineglass Bay, with opportunities for hiking, kayaking, and wildlife spotting.</w:t>
      </w:r>
    </w:p>
    <w:p w14:paraId="01E0760E" w14:textId="77777777" w:rsidR="00750813" w:rsidRPr="00750813" w:rsidRDefault="00750813" w:rsidP="00750813">
      <w:pPr>
        <w:numPr>
          <w:ilvl w:val="0"/>
          <w:numId w:val="8"/>
        </w:numPr>
      </w:pPr>
      <w:r w:rsidRPr="00750813">
        <w:rPr>
          <w:b/>
          <w:bCs/>
        </w:rPr>
        <w:t>Tasmanian Devil Sanctuary</w:t>
      </w:r>
      <w:r w:rsidRPr="00750813">
        <w:t>: Learn about conservation efforts and get up close with the famous Tasmanian devils at a dedicated sanctuary.</w:t>
      </w:r>
    </w:p>
    <w:p w14:paraId="1B1DA6AB" w14:textId="77777777" w:rsidR="00750813" w:rsidRPr="00750813" w:rsidRDefault="00750813" w:rsidP="00750813">
      <w:pPr>
        <w:numPr>
          <w:ilvl w:val="0"/>
          <w:numId w:val="8"/>
        </w:numPr>
      </w:pPr>
      <w:r w:rsidRPr="00750813">
        <w:rPr>
          <w:b/>
          <w:bCs/>
        </w:rPr>
        <w:t>Gordon River Cruise</w:t>
      </w:r>
      <w:r w:rsidRPr="00750813">
        <w:t>: Enjoy a serene cruise along the Gordon River, surrounded by ancient rainforests and pristine wilderness.</w:t>
      </w:r>
    </w:p>
    <w:p w14:paraId="5B8FAEB6" w14:textId="77777777" w:rsidR="00750813" w:rsidRPr="00750813" w:rsidRDefault="00750813" w:rsidP="00750813">
      <w:pPr>
        <w:numPr>
          <w:ilvl w:val="0"/>
          <w:numId w:val="8"/>
        </w:numPr>
      </w:pPr>
      <w:r w:rsidRPr="00750813">
        <w:rPr>
          <w:b/>
          <w:bCs/>
        </w:rPr>
        <w:t>Bay of Fires</w:t>
      </w:r>
      <w:r w:rsidRPr="00750813">
        <w:t>: Explore the Bay of Fires, known for its white sandy beaches, crystal-clear waters, and vibrant orange-hued granite rocks.</w:t>
      </w:r>
    </w:p>
    <w:p w14:paraId="322E5CA0" w14:textId="77777777" w:rsidR="00750813" w:rsidRPr="00750813" w:rsidRDefault="00750813" w:rsidP="00750813">
      <w:pPr>
        <w:numPr>
          <w:ilvl w:val="0"/>
          <w:numId w:val="8"/>
        </w:numPr>
      </w:pPr>
      <w:r w:rsidRPr="00750813">
        <w:rPr>
          <w:b/>
          <w:bCs/>
        </w:rPr>
        <w:t>Local Cuisine</w:t>
      </w:r>
      <w:r w:rsidRPr="00750813">
        <w:t>: Savor delicious Tasmanian cuisine, featuring fresh seafood, local produce, and fine wines.</w:t>
      </w:r>
    </w:p>
    <w:p w14:paraId="37A43E2B" w14:textId="77777777" w:rsidR="00750813" w:rsidRPr="00750813" w:rsidRDefault="00750813" w:rsidP="00750813">
      <w:r w:rsidRPr="00750813">
        <w:rPr>
          <w:b/>
          <w:bCs/>
        </w:rPr>
        <w:t>Benefits</w:t>
      </w:r>
      <w:r w:rsidRPr="00750813">
        <w:t>:</w:t>
      </w:r>
    </w:p>
    <w:p w14:paraId="32F1BB82" w14:textId="77777777" w:rsidR="00750813" w:rsidRPr="00750813" w:rsidRDefault="00750813" w:rsidP="00750813">
      <w:pPr>
        <w:numPr>
          <w:ilvl w:val="0"/>
          <w:numId w:val="9"/>
        </w:numPr>
      </w:pPr>
      <w:r w:rsidRPr="00750813">
        <w:rPr>
          <w:b/>
          <w:bCs/>
        </w:rPr>
        <w:t>Unspoiled Natural Beauty</w:t>
      </w:r>
      <w:r w:rsidRPr="00750813">
        <w:t>: Experience the untouched beauty of Tasmania's wilderness, from its rugged mountains to its tranquil rivers.</w:t>
      </w:r>
    </w:p>
    <w:p w14:paraId="7EB3336E" w14:textId="77777777" w:rsidR="00750813" w:rsidRPr="00750813" w:rsidRDefault="00750813" w:rsidP="00750813">
      <w:pPr>
        <w:numPr>
          <w:ilvl w:val="0"/>
          <w:numId w:val="9"/>
        </w:numPr>
      </w:pPr>
      <w:r w:rsidRPr="00750813">
        <w:rPr>
          <w:b/>
          <w:bCs/>
        </w:rPr>
        <w:t>Educational Insights</w:t>
      </w:r>
      <w:r w:rsidRPr="00750813">
        <w:t>: Gain a deeper understanding of Tasmania's unique ecosystems and conservation efforts through guided tours and presentations.</w:t>
      </w:r>
    </w:p>
    <w:p w14:paraId="3BC8EE8F" w14:textId="77777777" w:rsidR="00750813" w:rsidRPr="00750813" w:rsidRDefault="00750813" w:rsidP="00750813">
      <w:pPr>
        <w:numPr>
          <w:ilvl w:val="0"/>
          <w:numId w:val="9"/>
        </w:numPr>
      </w:pPr>
      <w:r w:rsidRPr="00750813">
        <w:rPr>
          <w:b/>
          <w:bCs/>
        </w:rPr>
        <w:t>All-Inclusive Package</w:t>
      </w:r>
      <w:r w:rsidRPr="00750813">
        <w:t>: Enjoy a hassle-free vacation with all accommodations, meals, and activities included in the package.</w:t>
      </w:r>
    </w:p>
    <w:p w14:paraId="2674B77F" w14:textId="77777777" w:rsidR="00750813" w:rsidRPr="00750813" w:rsidRDefault="00750813" w:rsidP="00750813">
      <w:pPr>
        <w:numPr>
          <w:ilvl w:val="0"/>
          <w:numId w:val="9"/>
        </w:numPr>
      </w:pPr>
      <w:r w:rsidRPr="00750813">
        <w:rPr>
          <w:b/>
          <w:bCs/>
        </w:rPr>
        <w:t>Adventure and Relaxation</w:t>
      </w:r>
      <w:r w:rsidRPr="00750813">
        <w:t>: Balance thrilling outdoor activities with moments of relaxation in serene natural settings.</w:t>
      </w:r>
    </w:p>
    <w:p w14:paraId="66B04AEA" w14:textId="77777777" w:rsidR="00750813" w:rsidRPr="00750813" w:rsidRDefault="00750813" w:rsidP="00750813">
      <w:r w:rsidRPr="00750813">
        <w:rPr>
          <w:b/>
          <w:bCs/>
        </w:rPr>
        <w:t>Pricing</w:t>
      </w:r>
      <w:r w:rsidRPr="00750813">
        <w:t>:</w:t>
      </w:r>
    </w:p>
    <w:p w14:paraId="1436F3AA" w14:textId="77777777" w:rsidR="00750813" w:rsidRPr="00750813" w:rsidRDefault="00750813" w:rsidP="00750813">
      <w:pPr>
        <w:numPr>
          <w:ilvl w:val="0"/>
          <w:numId w:val="10"/>
        </w:numPr>
      </w:pPr>
      <w:r w:rsidRPr="00750813">
        <w:rPr>
          <w:b/>
          <w:bCs/>
        </w:rPr>
        <w:t>Standard Package</w:t>
      </w:r>
      <w:r w:rsidRPr="00750813">
        <w:t>: AUD 3,999 per person</w:t>
      </w:r>
    </w:p>
    <w:p w14:paraId="1B2E6F84" w14:textId="77777777" w:rsidR="00750813" w:rsidRPr="00750813" w:rsidRDefault="00750813" w:rsidP="00750813">
      <w:pPr>
        <w:numPr>
          <w:ilvl w:val="0"/>
          <w:numId w:val="10"/>
        </w:numPr>
      </w:pPr>
      <w:r w:rsidRPr="00750813">
        <w:rPr>
          <w:b/>
          <w:bCs/>
        </w:rPr>
        <w:t>Deluxe Package</w:t>
      </w:r>
      <w:r w:rsidRPr="00750813">
        <w:t>: AUD 5,499 per person (includes additional luxury amenities and private tours)</w:t>
      </w:r>
    </w:p>
    <w:p w14:paraId="7039B4A1" w14:textId="77777777" w:rsidR="003E6C24" w:rsidRPr="003758AC" w:rsidRDefault="003E6C24" w:rsidP="003758AC"/>
    <w:sectPr w:rsidR="003E6C24" w:rsidRPr="00375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82243"/>
    <w:multiLevelType w:val="multilevel"/>
    <w:tmpl w:val="346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90211"/>
    <w:multiLevelType w:val="multilevel"/>
    <w:tmpl w:val="CB34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E032A7"/>
    <w:multiLevelType w:val="hybridMultilevel"/>
    <w:tmpl w:val="7C544778"/>
    <w:lvl w:ilvl="0" w:tplc="5066F09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A7B55"/>
    <w:multiLevelType w:val="multilevel"/>
    <w:tmpl w:val="8946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7C4BE4"/>
    <w:multiLevelType w:val="multilevel"/>
    <w:tmpl w:val="488A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F03AB4"/>
    <w:multiLevelType w:val="multilevel"/>
    <w:tmpl w:val="B856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38294A"/>
    <w:multiLevelType w:val="multilevel"/>
    <w:tmpl w:val="6FFA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12306"/>
    <w:multiLevelType w:val="multilevel"/>
    <w:tmpl w:val="9FA6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D24890"/>
    <w:multiLevelType w:val="multilevel"/>
    <w:tmpl w:val="189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010F61"/>
    <w:multiLevelType w:val="multilevel"/>
    <w:tmpl w:val="3D9E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2541667">
    <w:abstractNumId w:val="2"/>
  </w:num>
  <w:num w:numId="2" w16cid:durableId="442917552">
    <w:abstractNumId w:val="4"/>
  </w:num>
  <w:num w:numId="3" w16cid:durableId="643897573">
    <w:abstractNumId w:val="5"/>
  </w:num>
  <w:num w:numId="4" w16cid:durableId="1298225709">
    <w:abstractNumId w:val="8"/>
  </w:num>
  <w:num w:numId="5" w16cid:durableId="191189160">
    <w:abstractNumId w:val="1"/>
  </w:num>
  <w:num w:numId="6" w16cid:durableId="1790933345">
    <w:abstractNumId w:val="0"/>
  </w:num>
  <w:num w:numId="7" w16cid:durableId="949900683">
    <w:abstractNumId w:val="7"/>
  </w:num>
  <w:num w:numId="8" w16cid:durableId="569003340">
    <w:abstractNumId w:val="6"/>
  </w:num>
  <w:num w:numId="9" w16cid:durableId="533537245">
    <w:abstractNumId w:val="3"/>
  </w:num>
  <w:num w:numId="10" w16cid:durableId="2826115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E85"/>
    <w:rsid w:val="00006939"/>
    <w:rsid w:val="000078C9"/>
    <w:rsid w:val="00034FEB"/>
    <w:rsid w:val="0004409E"/>
    <w:rsid w:val="00070958"/>
    <w:rsid w:val="0007551D"/>
    <w:rsid w:val="000A4FAD"/>
    <w:rsid w:val="000D41B0"/>
    <w:rsid w:val="000E2115"/>
    <w:rsid w:val="000E3E32"/>
    <w:rsid w:val="000E4872"/>
    <w:rsid w:val="000E6F6D"/>
    <w:rsid w:val="000F276F"/>
    <w:rsid w:val="000F4FCC"/>
    <w:rsid w:val="000F6320"/>
    <w:rsid w:val="001061B4"/>
    <w:rsid w:val="00121519"/>
    <w:rsid w:val="0012266D"/>
    <w:rsid w:val="0012650F"/>
    <w:rsid w:val="00132D9A"/>
    <w:rsid w:val="001403C5"/>
    <w:rsid w:val="0016403D"/>
    <w:rsid w:val="00184EE0"/>
    <w:rsid w:val="001B5401"/>
    <w:rsid w:val="001C34A5"/>
    <w:rsid w:val="001F2932"/>
    <w:rsid w:val="002029FF"/>
    <w:rsid w:val="00204CA3"/>
    <w:rsid w:val="00211D41"/>
    <w:rsid w:val="00223000"/>
    <w:rsid w:val="00226141"/>
    <w:rsid w:val="002448AD"/>
    <w:rsid w:val="00247333"/>
    <w:rsid w:val="00260BC2"/>
    <w:rsid w:val="00261E23"/>
    <w:rsid w:val="00274345"/>
    <w:rsid w:val="00276791"/>
    <w:rsid w:val="002831C0"/>
    <w:rsid w:val="002B3209"/>
    <w:rsid w:val="002C3540"/>
    <w:rsid w:val="002C3C09"/>
    <w:rsid w:val="002D3EC5"/>
    <w:rsid w:val="002D4DB5"/>
    <w:rsid w:val="002E15EB"/>
    <w:rsid w:val="00305606"/>
    <w:rsid w:val="00333E55"/>
    <w:rsid w:val="00334878"/>
    <w:rsid w:val="00352190"/>
    <w:rsid w:val="00365AAD"/>
    <w:rsid w:val="003758AC"/>
    <w:rsid w:val="00380A16"/>
    <w:rsid w:val="00382E21"/>
    <w:rsid w:val="003D737F"/>
    <w:rsid w:val="003E2665"/>
    <w:rsid w:val="003E6C24"/>
    <w:rsid w:val="003F053A"/>
    <w:rsid w:val="003F1AAE"/>
    <w:rsid w:val="00406EF8"/>
    <w:rsid w:val="00411E36"/>
    <w:rsid w:val="00412134"/>
    <w:rsid w:val="0041366C"/>
    <w:rsid w:val="00424E85"/>
    <w:rsid w:val="0044204F"/>
    <w:rsid w:val="00446BA2"/>
    <w:rsid w:val="00454261"/>
    <w:rsid w:val="0045720B"/>
    <w:rsid w:val="00470BCA"/>
    <w:rsid w:val="004754E2"/>
    <w:rsid w:val="004851CE"/>
    <w:rsid w:val="004A2595"/>
    <w:rsid w:val="004C225E"/>
    <w:rsid w:val="004D380F"/>
    <w:rsid w:val="004E0F85"/>
    <w:rsid w:val="004E770E"/>
    <w:rsid w:val="004E7B42"/>
    <w:rsid w:val="004F1E35"/>
    <w:rsid w:val="00501C33"/>
    <w:rsid w:val="00507076"/>
    <w:rsid w:val="00510DEC"/>
    <w:rsid w:val="005113F6"/>
    <w:rsid w:val="00514DBC"/>
    <w:rsid w:val="00570294"/>
    <w:rsid w:val="005864B5"/>
    <w:rsid w:val="00587F08"/>
    <w:rsid w:val="005A2AB8"/>
    <w:rsid w:val="005A3E2B"/>
    <w:rsid w:val="005C085B"/>
    <w:rsid w:val="005C2567"/>
    <w:rsid w:val="005D7B09"/>
    <w:rsid w:val="005F09CB"/>
    <w:rsid w:val="005F6E85"/>
    <w:rsid w:val="00614B53"/>
    <w:rsid w:val="006201E3"/>
    <w:rsid w:val="00620D6E"/>
    <w:rsid w:val="0062251A"/>
    <w:rsid w:val="00625292"/>
    <w:rsid w:val="00625D1C"/>
    <w:rsid w:val="00632D53"/>
    <w:rsid w:val="00641EB1"/>
    <w:rsid w:val="00664F09"/>
    <w:rsid w:val="00665970"/>
    <w:rsid w:val="00670826"/>
    <w:rsid w:val="006728DB"/>
    <w:rsid w:val="006752FE"/>
    <w:rsid w:val="00680226"/>
    <w:rsid w:val="00696A59"/>
    <w:rsid w:val="006B43ED"/>
    <w:rsid w:val="006C515A"/>
    <w:rsid w:val="006D2B8A"/>
    <w:rsid w:val="0073080E"/>
    <w:rsid w:val="00750813"/>
    <w:rsid w:val="00752B58"/>
    <w:rsid w:val="007701B1"/>
    <w:rsid w:val="00786248"/>
    <w:rsid w:val="00792392"/>
    <w:rsid w:val="007961A4"/>
    <w:rsid w:val="007A0B64"/>
    <w:rsid w:val="007A7D04"/>
    <w:rsid w:val="007B15C6"/>
    <w:rsid w:val="007B66C4"/>
    <w:rsid w:val="007C2A37"/>
    <w:rsid w:val="007C4C79"/>
    <w:rsid w:val="008078DE"/>
    <w:rsid w:val="00811F3E"/>
    <w:rsid w:val="008136E8"/>
    <w:rsid w:val="00814EB0"/>
    <w:rsid w:val="00832183"/>
    <w:rsid w:val="00836356"/>
    <w:rsid w:val="00860B7E"/>
    <w:rsid w:val="008B7F53"/>
    <w:rsid w:val="008D6C6D"/>
    <w:rsid w:val="009020B4"/>
    <w:rsid w:val="00902E8C"/>
    <w:rsid w:val="0090665F"/>
    <w:rsid w:val="00922975"/>
    <w:rsid w:val="00931B9B"/>
    <w:rsid w:val="00934A3B"/>
    <w:rsid w:val="009513DC"/>
    <w:rsid w:val="009A0E39"/>
    <w:rsid w:val="009D6160"/>
    <w:rsid w:val="009F0E54"/>
    <w:rsid w:val="00A0187F"/>
    <w:rsid w:val="00A076DE"/>
    <w:rsid w:val="00A443F9"/>
    <w:rsid w:val="00A54D5E"/>
    <w:rsid w:val="00A57363"/>
    <w:rsid w:val="00A621F4"/>
    <w:rsid w:val="00A64178"/>
    <w:rsid w:val="00A65F3D"/>
    <w:rsid w:val="00A813E4"/>
    <w:rsid w:val="00AA64A8"/>
    <w:rsid w:val="00AB338C"/>
    <w:rsid w:val="00AC1FB4"/>
    <w:rsid w:val="00AE1455"/>
    <w:rsid w:val="00B07EA1"/>
    <w:rsid w:val="00B1735D"/>
    <w:rsid w:val="00B363D0"/>
    <w:rsid w:val="00B457B0"/>
    <w:rsid w:val="00B5172D"/>
    <w:rsid w:val="00B53020"/>
    <w:rsid w:val="00B961AE"/>
    <w:rsid w:val="00BB2ED0"/>
    <w:rsid w:val="00BC17C2"/>
    <w:rsid w:val="00BE5829"/>
    <w:rsid w:val="00BF349A"/>
    <w:rsid w:val="00BF58AD"/>
    <w:rsid w:val="00C01F2A"/>
    <w:rsid w:val="00C12991"/>
    <w:rsid w:val="00C1508C"/>
    <w:rsid w:val="00C17C85"/>
    <w:rsid w:val="00C207C3"/>
    <w:rsid w:val="00C4404F"/>
    <w:rsid w:val="00C549B2"/>
    <w:rsid w:val="00C60118"/>
    <w:rsid w:val="00C85A8F"/>
    <w:rsid w:val="00C86DBA"/>
    <w:rsid w:val="00C9038C"/>
    <w:rsid w:val="00C92DCF"/>
    <w:rsid w:val="00CC2DF9"/>
    <w:rsid w:val="00CD230A"/>
    <w:rsid w:val="00D06DD4"/>
    <w:rsid w:val="00D073FC"/>
    <w:rsid w:val="00D148FE"/>
    <w:rsid w:val="00D15AF4"/>
    <w:rsid w:val="00D3102A"/>
    <w:rsid w:val="00D35B4F"/>
    <w:rsid w:val="00D40703"/>
    <w:rsid w:val="00D4479C"/>
    <w:rsid w:val="00D54107"/>
    <w:rsid w:val="00D64769"/>
    <w:rsid w:val="00D75C12"/>
    <w:rsid w:val="00D75E16"/>
    <w:rsid w:val="00D94692"/>
    <w:rsid w:val="00D94ABE"/>
    <w:rsid w:val="00D94E82"/>
    <w:rsid w:val="00DA1A2C"/>
    <w:rsid w:val="00DB67B1"/>
    <w:rsid w:val="00DB6971"/>
    <w:rsid w:val="00DD21E6"/>
    <w:rsid w:val="00DE04E3"/>
    <w:rsid w:val="00E05099"/>
    <w:rsid w:val="00E105D3"/>
    <w:rsid w:val="00E21482"/>
    <w:rsid w:val="00E21605"/>
    <w:rsid w:val="00E317D6"/>
    <w:rsid w:val="00E32427"/>
    <w:rsid w:val="00E3278C"/>
    <w:rsid w:val="00E32EBC"/>
    <w:rsid w:val="00E64677"/>
    <w:rsid w:val="00E720E2"/>
    <w:rsid w:val="00E9325A"/>
    <w:rsid w:val="00EC21C3"/>
    <w:rsid w:val="00ED1638"/>
    <w:rsid w:val="00ED6534"/>
    <w:rsid w:val="00EF5EC4"/>
    <w:rsid w:val="00F0732D"/>
    <w:rsid w:val="00F10AE0"/>
    <w:rsid w:val="00F22466"/>
    <w:rsid w:val="00F22F77"/>
    <w:rsid w:val="00F269BF"/>
    <w:rsid w:val="00F33C6D"/>
    <w:rsid w:val="00F3575A"/>
    <w:rsid w:val="00F445CD"/>
    <w:rsid w:val="00F45A9D"/>
    <w:rsid w:val="00F55DD7"/>
    <w:rsid w:val="00F6614B"/>
    <w:rsid w:val="00F74FE6"/>
    <w:rsid w:val="00F753C4"/>
    <w:rsid w:val="00F75FE0"/>
    <w:rsid w:val="00F80080"/>
    <w:rsid w:val="00F84054"/>
    <w:rsid w:val="00FC492B"/>
    <w:rsid w:val="00FE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5FC10"/>
  <w15:chartTrackingRefBased/>
  <w15:docId w15:val="{8AAD377B-E05D-4805-AB44-96677BB2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1B0"/>
    <w:pPr>
      <w:spacing w:after="200" w:line="276" w:lineRule="auto"/>
    </w:pPr>
    <w:rPr>
      <w:rFonts w:eastAsiaTheme="minorEastAsia"/>
      <w:noProof/>
      <w:kern w:val="0"/>
      <w:lang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1B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Sub-Title">
    <w:name w:val="Topic Sub-Title"/>
    <w:basedOn w:val="Heading2"/>
    <w:next w:val="Normal"/>
    <w:link w:val="TopicSub-TitleChar"/>
    <w:qFormat/>
    <w:rsid w:val="00AE1455"/>
    <w:pPr>
      <w:keepLines w:val="0"/>
      <w:pageBreakBefore/>
      <w:spacing w:before="0" w:line="240" w:lineRule="auto"/>
      <w:outlineLvl w:val="2"/>
    </w:pPr>
    <w:rPr>
      <w:rFonts w:asciiTheme="minorHAnsi" w:eastAsia="Times New Roman" w:hAnsiTheme="minorHAnsi" w:cs="Times New Roman"/>
      <w:color w:val="auto"/>
      <w:sz w:val="32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D41B0"/>
    <w:rPr>
      <w:rFonts w:asciiTheme="majorHAnsi" w:eastAsiaTheme="majorEastAsia" w:hAnsiTheme="majorHAnsi" w:cstheme="majorBidi"/>
      <w:b/>
      <w:bCs/>
      <w:color w:val="0F4761" w:themeColor="accent1" w:themeShade="BF"/>
      <w:kern w:val="0"/>
      <w:sz w:val="32"/>
      <w:szCs w:val="28"/>
      <w:lang w:eastAsia="en-AU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D41B0"/>
    <w:rPr>
      <w:rFonts w:asciiTheme="majorHAnsi" w:eastAsiaTheme="majorEastAsia" w:hAnsiTheme="majorHAnsi" w:cstheme="majorBidi"/>
      <w:b/>
      <w:bCs/>
      <w:color w:val="156082" w:themeColor="accent1"/>
      <w:kern w:val="0"/>
      <w:szCs w:val="26"/>
      <w:lang w:eastAsia="en-AU"/>
      <w14:ligatures w14:val="none"/>
    </w:rPr>
  </w:style>
  <w:style w:type="character" w:customStyle="1" w:styleId="TopicSub-TitleChar">
    <w:name w:val="Topic Sub-Title Char"/>
    <w:link w:val="TopicSub-Title"/>
    <w:rsid w:val="00AE1455"/>
    <w:rPr>
      <w:rFonts w:eastAsia="Times New Roman" w:cs="Times New Roman"/>
      <w:b/>
      <w:bCs/>
      <w:kern w:val="0"/>
      <w:sz w:val="32"/>
      <w:szCs w:val="20"/>
      <w14:ligatures w14:val="none"/>
    </w:rPr>
  </w:style>
  <w:style w:type="paragraph" w:customStyle="1" w:styleId="Sub-Title">
    <w:name w:val="Sub-Title"/>
    <w:basedOn w:val="TopicSub-Title"/>
    <w:next w:val="Normal"/>
    <w:link w:val="Sub-TitleChar"/>
    <w:rsid w:val="00AE1455"/>
    <w:pPr>
      <w:keepNext w:val="0"/>
      <w:spacing w:before="120"/>
      <w:outlineLvl w:val="3"/>
    </w:pPr>
    <w:rPr>
      <w:sz w:val="28"/>
      <w:szCs w:val="28"/>
    </w:rPr>
  </w:style>
  <w:style w:type="character" w:customStyle="1" w:styleId="Sub-TitleChar">
    <w:name w:val="Sub-Title Char"/>
    <w:link w:val="Sub-Title"/>
    <w:locked/>
    <w:rsid w:val="00AE1455"/>
    <w:rPr>
      <w:rFonts w:eastAsia="Times New Roman" w:cs="Times New Roman"/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240" w:after="240" w:line="259" w:lineRule="auto"/>
    </w:pPr>
    <w:rPr>
      <w:b/>
      <w:bCs/>
      <w:sz w:val="24"/>
      <w:szCs w:val="21"/>
      <w:lang w:eastAsia="en-US"/>
    </w:rPr>
  </w:style>
  <w:style w:type="paragraph" w:styleId="TOC2">
    <w:name w:val="toc 2"/>
    <w:basedOn w:val="Normal"/>
    <w:next w:val="Normal"/>
    <w:uiPriority w:val="39"/>
    <w:qFormat/>
    <w:rsid w:val="00AE1455"/>
    <w:pPr>
      <w:tabs>
        <w:tab w:val="right" w:leader="dot" w:pos="9072"/>
      </w:tabs>
      <w:spacing w:before="120" w:after="0" w:line="240" w:lineRule="auto"/>
    </w:pPr>
    <w:rPr>
      <w:b/>
      <w:iCs/>
      <w:szCs w:val="21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120" w:after="0" w:line="240" w:lineRule="auto"/>
      <w:ind w:left="284"/>
    </w:pPr>
    <w:rPr>
      <w:rFonts w:ascii="Calibri" w:hAnsi="Calibri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1455"/>
    <w:pPr>
      <w:spacing w:before="320" w:after="80" w:line="240" w:lineRule="auto"/>
      <w:jc w:val="center"/>
      <w:outlineLvl w:val="9"/>
    </w:pPr>
    <w:rPr>
      <w:b w:val="0"/>
      <w:bCs w:val="0"/>
      <w:sz w:val="40"/>
      <w:szCs w:val="40"/>
      <w:lang w:eastAsia="en-US"/>
    </w:rPr>
  </w:style>
  <w:style w:type="paragraph" w:customStyle="1" w:styleId="TopicTitle">
    <w:name w:val="Topic Title"/>
    <w:next w:val="Normal"/>
    <w:link w:val="TopicTitleChar1"/>
    <w:qFormat/>
    <w:rsid w:val="00AE1455"/>
    <w:pPr>
      <w:pageBreakBefore/>
      <w:spacing w:after="120" w:line="240" w:lineRule="auto"/>
      <w:outlineLvl w:val="1"/>
    </w:pPr>
    <w:rPr>
      <w:rFonts w:eastAsiaTheme="minorEastAsia"/>
      <w:color w:val="0052A2"/>
      <w:kern w:val="0"/>
      <w:sz w:val="48"/>
      <w:szCs w:val="21"/>
      <w:lang w:val="en-US"/>
    </w:rPr>
  </w:style>
  <w:style w:type="character" w:customStyle="1" w:styleId="TopicTitleChar1">
    <w:name w:val="Topic Title Char1"/>
    <w:basedOn w:val="DefaultParagraphFont"/>
    <w:link w:val="TopicTitle"/>
    <w:rsid w:val="00AE1455"/>
    <w:rPr>
      <w:rFonts w:eastAsiaTheme="minorEastAsia"/>
      <w:color w:val="0052A2"/>
      <w:kern w:val="0"/>
      <w:sz w:val="48"/>
      <w:szCs w:val="21"/>
      <w:lang w:val="en-US"/>
    </w:rPr>
  </w:style>
  <w:style w:type="paragraph" w:customStyle="1" w:styleId="Objectives">
    <w:name w:val="Objectives"/>
    <w:basedOn w:val="Normal"/>
    <w:link w:val="ObjectivesChar"/>
    <w:qFormat/>
    <w:rsid w:val="00AE1455"/>
    <w:pPr>
      <w:spacing w:before="240" w:after="120" w:line="240" w:lineRule="auto"/>
    </w:pPr>
    <w:rPr>
      <w:b/>
      <w:sz w:val="32"/>
      <w:szCs w:val="21"/>
      <w:lang w:eastAsia="en-US"/>
    </w:rPr>
  </w:style>
  <w:style w:type="character" w:customStyle="1" w:styleId="ObjectivesChar">
    <w:name w:val="Objectives Char"/>
    <w:basedOn w:val="DefaultParagraphFont"/>
    <w:link w:val="Objectives"/>
    <w:rsid w:val="00AE1455"/>
    <w:rPr>
      <w:rFonts w:eastAsiaTheme="minorEastAsia"/>
      <w:b/>
      <w:kern w:val="0"/>
      <w:sz w:val="32"/>
      <w:szCs w:val="21"/>
      <w14:ligatures w14:val="none"/>
    </w:rPr>
  </w:style>
  <w:style w:type="paragraph" w:customStyle="1" w:styleId="LessonTitle">
    <w:name w:val="Lesson Title"/>
    <w:basedOn w:val="Normal"/>
    <w:next w:val="Normal"/>
    <w:link w:val="LessonTitleChar"/>
    <w:qFormat/>
    <w:rsid w:val="00AE1455"/>
    <w:pPr>
      <w:pageBreakBefore/>
      <w:pBdr>
        <w:top w:val="single" w:sz="6" w:space="8" w:color="196B24" w:themeColor="accent3"/>
        <w:bottom w:val="single" w:sz="6" w:space="8" w:color="196B24" w:themeColor="accent3"/>
      </w:pBdr>
      <w:spacing w:before="120" w:after="400" w:line="240" w:lineRule="auto"/>
      <w:contextualSpacing/>
      <w:jc w:val="center"/>
      <w:outlineLvl w:val="0"/>
    </w:pPr>
    <w:rPr>
      <w:rFonts w:ascii="Calibri" w:eastAsiaTheme="majorEastAsia" w:hAnsi="Calibri" w:cstheme="minorHAnsi"/>
      <w:smallCaps/>
      <w:color w:val="0052A2"/>
      <w:spacing w:val="30"/>
      <w:sz w:val="48"/>
      <w:szCs w:val="48"/>
      <w:lang w:eastAsia="en-US"/>
    </w:rPr>
  </w:style>
  <w:style w:type="character" w:customStyle="1" w:styleId="LessonTitleChar">
    <w:name w:val="Lesson Title Char"/>
    <w:basedOn w:val="DefaultParagraphFont"/>
    <w:link w:val="LessonTitle"/>
    <w:rsid w:val="00AE1455"/>
    <w:rPr>
      <w:rFonts w:ascii="Calibri" w:eastAsiaTheme="majorEastAsia" w:hAnsi="Calibri" w:cstheme="minorHAnsi"/>
      <w:smallCaps/>
      <w:color w:val="0052A2"/>
      <w:spacing w:val="30"/>
      <w:kern w:val="0"/>
      <w:sz w:val="48"/>
      <w:szCs w:val="48"/>
      <w14:ligatures w14:val="none"/>
    </w:rPr>
  </w:style>
  <w:style w:type="paragraph" w:styleId="ListParagraph">
    <w:name w:val="List Paragraph"/>
    <w:basedOn w:val="Normal"/>
    <w:link w:val="ListParagraphChar"/>
    <w:uiPriority w:val="34"/>
    <w:rsid w:val="00AE1455"/>
    <w:pPr>
      <w:numPr>
        <w:numId w:val="1"/>
      </w:numPr>
      <w:spacing w:before="120" w:after="120" w:line="259" w:lineRule="auto"/>
    </w:pPr>
    <w:rPr>
      <w:sz w:val="24"/>
      <w:szCs w:val="21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AE1455"/>
    <w:rPr>
      <w:rFonts w:eastAsiaTheme="minorEastAsia"/>
      <w:kern w:val="0"/>
      <w:sz w:val="24"/>
      <w:szCs w:val="21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sz w:val="28"/>
      <w:szCs w:val="28"/>
      <w:lang w:eastAsia="en-AU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E85"/>
    <w:rPr>
      <w:rFonts w:eastAsiaTheme="majorEastAsia" w:cstheme="majorBidi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E85"/>
    <w:rPr>
      <w:rFonts w:eastAsiaTheme="majorEastAsia" w:cstheme="majorBidi"/>
      <w:i/>
      <w:iCs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E85"/>
    <w:rPr>
      <w:rFonts w:eastAsiaTheme="majorEastAsia" w:cstheme="majorBidi"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E85"/>
    <w:rPr>
      <w:rFonts w:eastAsiaTheme="majorEastAsia" w:cstheme="majorBidi"/>
      <w:i/>
      <w:iCs/>
      <w:noProof/>
      <w:color w:val="272727" w:themeColor="text1" w:themeTint="D8"/>
      <w:kern w:val="0"/>
      <w:lang w:eastAsia="en-AU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E85"/>
    <w:rPr>
      <w:rFonts w:eastAsiaTheme="majorEastAsia" w:cstheme="majorBidi"/>
      <w:noProof/>
      <w:color w:val="272727" w:themeColor="text1" w:themeTint="D8"/>
      <w:kern w:val="0"/>
      <w:lang w:eastAsia="en-AU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24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E85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AU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E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E85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:lang w:eastAsia="en-AU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24E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E85"/>
    <w:rPr>
      <w:rFonts w:eastAsiaTheme="minorEastAsia"/>
      <w:i/>
      <w:iCs/>
      <w:noProof/>
      <w:color w:val="404040" w:themeColor="text1" w:themeTint="BF"/>
      <w:kern w:val="0"/>
      <w:lang w:eastAsia="en-A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424E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E85"/>
    <w:rPr>
      <w:rFonts w:eastAsiaTheme="minorEastAsia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424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Deepika Flavia</dc:creator>
  <cp:keywords/>
  <dc:description/>
  <cp:lastModifiedBy>Deepika Flavia</cp:lastModifiedBy>
  <cp:revision>5</cp:revision>
  <dcterms:created xsi:type="dcterms:W3CDTF">2025-01-15T02:19:00Z</dcterms:created>
  <dcterms:modified xsi:type="dcterms:W3CDTF">2025-01-23T01:58:00Z</dcterms:modified>
</cp:coreProperties>
</file>